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A91F" w14:textId="77777777" w:rsidR="00FF4D90" w:rsidRPr="00BA6D69" w:rsidRDefault="00FF4D90" w:rsidP="00BB77D9">
      <w:pPr>
        <w:pStyle w:val="DOCWEB-Embargo"/>
        <w:rPr>
          <w:lang w:val="it-IT"/>
        </w:rPr>
      </w:pPr>
    </w:p>
    <w:p w14:paraId="4BC1D6B0" w14:textId="77777777" w:rsidR="00FC76E0" w:rsidRDefault="00A66F65" w:rsidP="009C62E6">
      <w:pPr>
        <w:pStyle w:val="DOCWEB-Titre"/>
      </w:pPr>
      <w:r>
        <w:t>Aide-mémoire - Adaptation</w:t>
      </w:r>
    </w:p>
    <w:p w14:paraId="66560244" w14:textId="77777777" w:rsidR="00A66F65" w:rsidRPr="00406649" w:rsidRDefault="00A66F65" w:rsidP="00406649">
      <w:pPr>
        <w:pStyle w:val="DOCWEB-Communiqu"/>
        <w:spacing w:before="0" w:after="0"/>
        <w:rPr>
          <w:sz w:val="20"/>
          <w:szCs w:val="20"/>
        </w:rPr>
      </w:pPr>
    </w:p>
    <w:p w14:paraId="0CA1CCDD" w14:textId="77777777" w:rsidR="00A66F65" w:rsidRPr="00406649" w:rsidRDefault="00A66F65" w:rsidP="00A66F65">
      <w:pPr>
        <w:pStyle w:val="DOCWEB-Titreparagraphe"/>
      </w:pPr>
      <w:r w:rsidRPr="00406649">
        <w:t>Bases juridiques</w:t>
      </w:r>
    </w:p>
    <w:p w14:paraId="363CEBD0" w14:textId="77777777" w:rsidR="00A66F65" w:rsidRPr="00406649" w:rsidRDefault="00A66F65" w:rsidP="00A66F65">
      <w:pPr>
        <w:pStyle w:val="Textebrut"/>
        <w:rPr>
          <w:sz w:val="20"/>
          <w:szCs w:val="20"/>
        </w:rPr>
      </w:pPr>
      <w:r w:rsidRPr="00406649">
        <w:rPr>
          <w:sz w:val="20"/>
          <w:szCs w:val="20"/>
        </w:rPr>
        <w:t xml:space="preserve">Selon la Loi fédérale sur le droit d’auteur, l’auteur décide « si, quand et de quelle manière son œuvre sera utilisée ». Cela signifie que l’auteur d’une œuvre dite préexistante détient le contrôle sur les adaptations que la loi désigne par « œuvres dérivées ». </w:t>
      </w:r>
    </w:p>
    <w:p w14:paraId="5A2F66DF" w14:textId="77777777" w:rsidR="00A66F65" w:rsidRPr="00406649" w:rsidRDefault="00A66F65" w:rsidP="00A66F65">
      <w:pPr>
        <w:pStyle w:val="Textebrut"/>
        <w:rPr>
          <w:sz w:val="20"/>
          <w:szCs w:val="20"/>
        </w:rPr>
      </w:pPr>
    </w:p>
    <w:p w14:paraId="678A70D2" w14:textId="77777777" w:rsidR="00A66F65" w:rsidRPr="00406649" w:rsidRDefault="00A66F65" w:rsidP="00A66F65">
      <w:pPr>
        <w:pStyle w:val="Textebrut"/>
        <w:rPr>
          <w:sz w:val="20"/>
          <w:szCs w:val="20"/>
        </w:rPr>
      </w:pPr>
      <w:r w:rsidRPr="00406649">
        <w:rPr>
          <w:sz w:val="20"/>
          <w:szCs w:val="20"/>
        </w:rPr>
        <w:t xml:space="preserve">Ce contrôle est tout avant tout </w:t>
      </w:r>
      <w:r w:rsidRPr="00406649">
        <w:rPr>
          <w:b/>
          <w:sz w:val="20"/>
          <w:szCs w:val="20"/>
        </w:rPr>
        <w:t>économique</w:t>
      </w:r>
      <w:r w:rsidRPr="00406649">
        <w:rPr>
          <w:sz w:val="20"/>
          <w:szCs w:val="20"/>
        </w:rPr>
        <w:t xml:space="preserve"> : négociation d’un montant forfaitaire pour accorder l’exclusivité de l’adaptation ou le fait même de l’autoriser, participation aux recettes générées par l’exploitation de l’œuvre dérivée. </w:t>
      </w:r>
    </w:p>
    <w:p w14:paraId="45171323" w14:textId="77777777" w:rsidR="00A66F65" w:rsidRPr="00406649" w:rsidRDefault="00A66F65" w:rsidP="00A66F65">
      <w:pPr>
        <w:pStyle w:val="Textebrut"/>
        <w:rPr>
          <w:sz w:val="20"/>
          <w:szCs w:val="20"/>
        </w:rPr>
      </w:pPr>
      <w:r w:rsidRPr="00406649">
        <w:rPr>
          <w:sz w:val="20"/>
          <w:szCs w:val="20"/>
        </w:rPr>
        <w:t xml:space="preserve">Le contrôle peut également être </w:t>
      </w:r>
      <w:r w:rsidRPr="00406649">
        <w:rPr>
          <w:b/>
          <w:sz w:val="20"/>
          <w:szCs w:val="20"/>
        </w:rPr>
        <w:t>artistique</w:t>
      </w:r>
      <w:r w:rsidRPr="00406649">
        <w:rPr>
          <w:sz w:val="20"/>
          <w:szCs w:val="20"/>
        </w:rPr>
        <w:t xml:space="preserve"> et porter sur le genre de l’œuvre dérivée, sur les modalités d’écriture – adaptation par l’auteur préexistant lui-même, co-écriture, droit de regard ou de veto - jusqu’à la détermination du réalisateur ou du metteur en scène et des interprètes principaux.</w:t>
      </w:r>
      <w:r w:rsidR="00406649">
        <w:rPr>
          <w:sz w:val="20"/>
          <w:szCs w:val="20"/>
        </w:rPr>
        <w:t xml:space="preserve"> </w:t>
      </w:r>
      <w:r w:rsidRPr="00406649">
        <w:rPr>
          <w:sz w:val="20"/>
          <w:szCs w:val="20"/>
        </w:rPr>
        <w:t xml:space="preserve">Tout cela se règle par contrat.  </w:t>
      </w:r>
    </w:p>
    <w:p w14:paraId="2146004E" w14:textId="77777777" w:rsidR="00A66F65" w:rsidRPr="00406649" w:rsidRDefault="00A66F65" w:rsidP="00A66F65">
      <w:pPr>
        <w:pStyle w:val="Textebrut"/>
        <w:rPr>
          <w:sz w:val="20"/>
          <w:szCs w:val="20"/>
        </w:rPr>
      </w:pPr>
    </w:p>
    <w:p w14:paraId="15867AF8" w14:textId="77777777" w:rsidR="00A66F65" w:rsidRPr="00406649" w:rsidRDefault="00A66F65" w:rsidP="00A66F65">
      <w:pPr>
        <w:pStyle w:val="Textebrut"/>
        <w:rPr>
          <w:sz w:val="20"/>
          <w:szCs w:val="20"/>
        </w:rPr>
      </w:pPr>
      <w:r w:rsidRPr="00406649">
        <w:rPr>
          <w:sz w:val="20"/>
          <w:szCs w:val="20"/>
        </w:rPr>
        <w:t xml:space="preserve">En revanche, le </w:t>
      </w:r>
      <w:r w:rsidRPr="00406649">
        <w:rPr>
          <w:b/>
          <w:sz w:val="20"/>
          <w:szCs w:val="20"/>
        </w:rPr>
        <w:t>droit moral</w:t>
      </w:r>
      <w:r w:rsidRPr="00406649">
        <w:rPr>
          <w:sz w:val="20"/>
          <w:szCs w:val="20"/>
        </w:rPr>
        <w:t xml:space="preserve"> reste indissociable de l’auteur, indépendamment des contrats. Il a pour but de protéger sa personnalité par le respect de l’intégrité de l’œuvre et de la mention de la paternité. Il peut être invoqué même si le droit d’adaptation a été accordé et donc bloquer un projet. En cas de conflit, les juges devront trouver l’équilibre entre la volonté exprimée dans les contrats d’adaptation et les principes du droit moral.</w:t>
      </w:r>
    </w:p>
    <w:p w14:paraId="63282C45" w14:textId="77777777" w:rsidR="00A66F65" w:rsidRPr="00406649" w:rsidRDefault="00A66F65" w:rsidP="00A66F65">
      <w:pPr>
        <w:pStyle w:val="Textebrut"/>
        <w:rPr>
          <w:sz w:val="20"/>
          <w:szCs w:val="20"/>
        </w:rPr>
      </w:pPr>
    </w:p>
    <w:p w14:paraId="17374B67" w14:textId="77777777" w:rsidR="00A66F65" w:rsidRPr="00406649" w:rsidRDefault="00A66F65" w:rsidP="00A66F65">
      <w:pPr>
        <w:pStyle w:val="Textebrut"/>
        <w:rPr>
          <w:sz w:val="20"/>
          <w:szCs w:val="20"/>
        </w:rPr>
      </w:pPr>
      <w:r w:rsidRPr="00406649">
        <w:rPr>
          <w:sz w:val="20"/>
          <w:szCs w:val="20"/>
        </w:rPr>
        <w:t>Rappelons que toutes les composantes du droit d’auteur sont exercées par les héritières et héritiers d’un auteur jusqu’à 70 ans après son décès. Le montage de plusieurs textes en une seule nouvelle œuvre constitue une forme particulière d’adaptation, et il ne faut pas confondre « inspiration » et « adaptation ».</w:t>
      </w:r>
    </w:p>
    <w:p w14:paraId="3F547D51" w14:textId="77777777" w:rsidR="00A66F65" w:rsidRPr="00406649" w:rsidRDefault="00A66F65" w:rsidP="00A66F65">
      <w:pPr>
        <w:pStyle w:val="Textebrut"/>
        <w:rPr>
          <w:sz w:val="20"/>
          <w:szCs w:val="20"/>
        </w:rPr>
      </w:pPr>
    </w:p>
    <w:p w14:paraId="27587088" w14:textId="77777777" w:rsidR="00A66F65" w:rsidRPr="00406649" w:rsidRDefault="00A66F65" w:rsidP="00406649">
      <w:pPr>
        <w:pStyle w:val="DOCWEB-Titreparagraphe"/>
      </w:pPr>
      <w:r w:rsidRPr="00406649">
        <w:t>Contrats d’édition</w:t>
      </w:r>
    </w:p>
    <w:p w14:paraId="06E1DEA9" w14:textId="77777777" w:rsidR="00A66F65" w:rsidRPr="00406649" w:rsidRDefault="00A66F65" w:rsidP="00A66F65">
      <w:pPr>
        <w:pStyle w:val="Textebrut"/>
        <w:rPr>
          <w:sz w:val="20"/>
          <w:szCs w:val="20"/>
        </w:rPr>
      </w:pPr>
      <w:r w:rsidRPr="00406649">
        <w:rPr>
          <w:sz w:val="20"/>
          <w:szCs w:val="20"/>
        </w:rPr>
        <w:t>Dans les domaines de la littérature et de la bande dessinée, les contrats d’édition peuvent prévoir les droits d’adaptation. Généralement, les droits d’adaptation sont réglés dans une partie du contrat d’édition désignée par « droits secondaires » - mais économiquement, ils ne sont pas du tout « </w:t>
      </w:r>
      <w:r w:rsidRPr="00655EC8">
        <w:rPr>
          <w:sz w:val="20"/>
          <w:szCs w:val="20"/>
        </w:rPr>
        <w:t>secondaires </w:t>
      </w:r>
      <w:r w:rsidRPr="00655EC8">
        <w:rPr>
          <w:b/>
          <w:sz w:val="20"/>
          <w:szCs w:val="20"/>
        </w:rPr>
        <w:t>». Nous recommandons la plus grande vigilance à propos de ces dispositions, souvent lacunaires ou défavorables à l’auteur.</w:t>
      </w:r>
      <w:r w:rsidRPr="00406649">
        <w:rPr>
          <w:sz w:val="20"/>
          <w:szCs w:val="20"/>
        </w:rPr>
        <w:t xml:space="preserve"> L’auteur n’est pas tenu de transférer ces droits à son éditeur, mais s’il le fait, il fa</w:t>
      </w:r>
      <w:r w:rsidR="0038741B">
        <w:rPr>
          <w:sz w:val="20"/>
          <w:szCs w:val="20"/>
        </w:rPr>
        <w:t>u</w:t>
      </w:r>
      <w:r w:rsidRPr="00406649">
        <w:rPr>
          <w:sz w:val="20"/>
          <w:szCs w:val="20"/>
        </w:rPr>
        <w:t xml:space="preserve">t prévoir de partager les recettes générées par une adaptation entre l’éditeur et l’auteur. L’auteur peut également proposer un tel partage </w:t>
      </w:r>
      <w:r w:rsidRPr="00406649">
        <w:rPr>
          <w:i/>
          <w:sz w:val="20"/>
          <w:szCs w:val="20"/>
        </w:rPr>
        <w:t>à la place</w:t>
      </w:r>
      <w:r w:rsidRPr="00406649">
        <w:rPr>
          <w:sz w:val="20"/>
          <w:szCs w:val="20"/>
        </w:rPr>
        <w:t xml:space="preserve"> d’une cession des droits d’adaptation.</w:t>
      </w:r>
    </w:p>
    <w:p w14:paraId="2227B74A" w14:textId="77777777" w:rsidR="00A66F65" w:rsidRPr="00406649" w:rsidRDefault="00A66F65" w:rsidP="00A66F65">
      <w:pPr>
        <w:pStyle w:val="Textebrut"/>
        <w:rPr>
          <w:sz w:val="20"/>
          <w:szCs w:val="20"/>
        </w:rPr>
      </w:pPr>
    </w:p>
    <w:p w14:paraId="68AF46B5" w14:textId="77777777" w:rsidR="00A66F65" w:rsidRPr="00406649" w:rsidRDefault="00A66F65" w:rsidP="00A66F65">
      <w:pPr>
        <w:pStyle w:val="Textebrut"/>
        <w:rPr>
          <w:sz w:val="20"/>
          <w:szCs w:val="20"/>
        </w:rPr>
      </w:pPr>
      <w:r w:rsidRPr="00406649">
        <w:rPr>
          <w:sz w:val="20"/>
          <w:szCs w:val="20"/>
        </w:rPr>
        <w:t>Si l’éditeur est habilité à négocier les accords d’adaptation en vertu du contrat d’édition qu’il a conclu l’auteur, il ne pourra généralement pas se passer de l’accord explicite et personnel de l’auteur sur un projet précis pour délivrer une autorisation d’adaptation.</w:t>
      </w:r>
    </w:p>
    <w:p w14:paraId="273869C5" w14:textId="77777777" w:rsidR="00A66F65" w:rsidRPr="00406649" w:rsidRDefault="00A66F65" w:rsidP="00A66F65">
      <w:pPr>
        <w:pStyle w:val="Textebrut"/>
        <w:rPr>
          <w:sz w:val="20"/>
          <w:szCs w:val="20"/>
        </w:rPr>
      </w:pPr>
    </w:p>
    <w:p w14:paraId="3A3E6024" w14:textId="77777777" w:rsidR="00406649" w:rsidRDefault="00A66F65" w:rsidP="00A66F65">
      <w:pPr>
        <w:pStyle w:val="Textebrut"/>
        <w:rPr>
          <w:sz w:val="20"/>
          <w:szCs w:val="20"/>
        </w:rPr>
      </w:pPr>
      <w:r w:rsidRPr="00406649">
        <w:rPr>
          <w:sz w:val="20"/>
          <w:szCs w:val="20"/>
        </w:rPr>
        <w:t xml:space="preserve">Les œuvres littéraires peuvent être sources de nombreuses exploitations différentes de la vente de livres, en tant qu’œuvre littéraire (lectures publiques ou radiophoniques, inclusion dans un film documentaire etc.) ou sous forme de transposition dans une autre forme d’expression (adaptation sous forme de pièce de théâtre, de film, de série, etc.). </w:t>
      </w:r>
    </w:p>
    <w:p w14:paraId="05FB1A0D" w14:textId="77777777" w:rsidR="00406649" w:rsidRDefault="00406649" w:rsidP="00406649">
      <w:pPr>
        <w:pStyle w:val="DOCWEB-Titre"/>
      </w:pPr>
      <w:r>
        <w:br w:type="page"/>
      </w:r>
    </w:p>
    <w:p w14:paraId="0D231774" w14:textId="77777777" w:rsidR="00406649" w:rsidRDefault="00406649" w:rsidP="00A66F65">
      <w:pPr>
        <w:pStyle w:val="Textebrut"/>
        <w:rPr>
          <w:b/>
          <w:sz w:val="20"/>
          <w:szCs w:val="20"/>
        </w:rPr>
      </w:pPr>
    </w:p>
    <w:p w14:paraId="16476F7F" w14:textId="77777777" w:rsidR="00A66F65" w:rsidRPr="00406649" w:rsidRDefault="00A66F65" w:rsidP="00A66F65">
      <w:pPr>
        <w:pStyle w:val="Textebrut"/>
        <w:rPr>
          <w:b/>
          <w:sz w:val="20"/>
          <w:szCs w:val="20"/>
        </w:rPr>
      </w:pPr>
      <w:r w:rsidRPr="00406649">
        <w:rPr>
          <w:b/>
          <w:sz w:val="20"/>
          <w:szCs w:val="20"/>
        </w:rPr>
        <w:t>Vous voulez faire une adaptation – comment procéder ?</w:t>
      </w:r>
    </w:p>
    <w:p w14:paraId="4D8D1102" w14:textId="77777777" w:rsidR="00A66F65" w:rsidRPr="00406649" w:rsidRDefault="00A66F65" w:rsidP="00A66F65">
      <w:pPr>
        <w:pStyle w:val="Textebrut"/>
        <w:rPr>
          <w:sz w:val="20"/>
          <w:szCs w:val="20"/>
        </w:rPr>
      </w:pPr>
    </w:p>
    <w:p w14:paraId="37D26A92" w14:textId="77777777" w:rsidR="00A66F65" w:rsidRPr="00406649" w:rsidRDefault="00A66F65" w:rsidP="00A66F65">
      <w:pPr>
        <w:pStyle w:val="Textebrut"/>
        <w:rPr>
          <w:b/>
          <w:sz w:val="20"/>
          <w:szCs w:val="20"/>
        </w:rPr>
      </w:pPr>
      <w:r w:rsidRPr="00406649">
        <w:rPr>
          <w:b/>
          <w:sz w:val="20"/>
          <w:szCs w:val="20"/>
        </w:rPr>
        <w:t xml:space="preserve">La SSA conseille vivement de demander les droits d’adaptation dès les premiers stades d’un projet d’œuvre dérivée. </w:t>
      </w:r>
    </w:p>
    <w:p w14:paraId="1E4F2BA6" w14:textId="77777777" w:rsidR="00A66F65" w:rsidRPr="00406649" w:rsidRDefault="00A66F65" w:rsidP="00A66F65">
      <w:pPr>
        <w:pStyle w:val="Textebrut"/>
        <w:rPr>
          <w:sz w:val="20"/>
          <w:szCs w:val="20"/>
        </w:rPr>
      </w:pPr>
    </w:p>
    <w:p w14:paraId="5E4A3327" w14:textId="77777777" w:rsidR="00A66F65" w:rsidRPr="00406649" w:rsidRDefault="00A66F65" w:rsidP="00A66F65">
      <w:pPr>
        <w:pStyle w:val="Textebrut"/>
        <w:rPr>
          <w:sz w:val="20"/>
          <w:szCs w:val="20"/>
        </w:rPr>
      </w:pPr>
      <w:r w:rsidRPr="00406649">
        <w:rPr>
          <w:sz w:val="20"/>
          <w:szCs w:val="20"/>
        </w:rPr>
        <w:t xml:space="preserve">Pour les </w:t>
      </w:r>
      <w:r w:rsidRPr="00406649">
        <w:rPr>
          <w:b/>
          <w:sz w:val="20"/>
          <w:szCs w:val="20"/>
        </w:rPr>
        <w:t>adaptations théâtrales</w:t>
      </w:r>
      <w:r w:rsidRPr="00406649">
        <w:rPr>
          <w:sz w:val="20"/>
          <w:szCs w:val="20"/>
        </w:rPr>
        <w:t>, la SSA se chargera de faire les recherches, il suffit de lui adresser une demande d’autorisation complète et suffisamment à l’avance, si possible accompagnée d’une note d’intention et d’un CV de la metteuse en scène ou du metteur en scène.</w:t>
      </w:r>
    </w:p>
    <w:p w14:paraId="5F9953AE" w14:textId="77777777" w:rsidR="00A66F65" w:rsidRPr="00406649" w:rsidRDefault="00A66F65" w:rsidP="00A66F65">
      <w:pPr>
        <w:pStyle w:val="Textebrut"/>
        <w:rPr>
          <w:sz w:val="20"/>
          <w:szCs w:val="20"/>
        </w:rPr>
      </w:pPr>
    </w:p>
    <w:p w14:paraId="182C255C" w14:textId="77777777" w:rsidR="00A66F65" w:rsidRPr="00406649" w:rsidRDefault="00A66F65" w:rsidP="00A66F65">
      <w:pPr>
        <w:pStyle w:val="Textebrut"/>
        <w:rPr>
          <w:sz w:val="20"/>
          <w:szCs w:val="20"/>
        </w:rPr>
      </w:pPr>
      <w:r w:rsidRPr="00406649">
        <w:rPr>
          <w:sz w:val="20"/>
          <w:szCs w:val="20"/>
        </w:rPr>
        <w:t xml:space="preserve">Pour les </w:t>
      </w:r>
      <w:r w:rsidRPr="00406649">
        <w:rPr>
          <w:b/>
          <w:sz w:val="20"/>
          <w:szCs w:val="20"/>
        </w:rPr>
        <w:t>projets audiovisuels</w:t>
      </w:r>
      <w:r w:rsidRPr="00406649">
        <w:rPr>
          <w:sz w:val="20"/>
          <w:szCs w:val="20"/>
        </w:rPr>
        <w:t xml:space="preserve"> : </w:t>
      </w:r>
    </w:p>
    <w:p w14:paraId="70A20A84" w14:textId="77777777" w:rsidR="00A66F65" w:rsidRPr="00406649" w:rsidRDefault="00A66F65" w:rsidP="00406649">
      <w:pPr>
        <w:pStyle w:val="Textebrut"/>
        <w:numPr>
          <w:ilvl w:val="0"/>
          <w:numId w:val="12"/>
        </w:numPr>
        <w:rPr>
          <w:sz w:val="20"/>
          <w:szCs w:val="20"/>
        </w:rPr>
      </w:pPr>
      <w:r w:rsidRPr="00406649">
        <w:rPr>
          <w:sz w:val="20"/>
          <w:szCs w:val="20"/>
        </w:rPr>
        <w:t>Œuvres préexistantes provenant d’un pays « latin » (Francophonie, Italie, Espagne, Amérique du Sud, Portugal) : la SSA est en mesure de vous renseigner rapidement sur la disponibilité des droits d’adaptation et de vous mettre en contact avec les personnes habilitées à traiter.</w:t>
      </w:r>
    </w:p>
    <w:p w14:paraId="137A70D4" w14:textId="77777777" w:rsidR="00A66F65" w:rsidRPr="00406649" w:rsidRDefault="00A66F65" w:rsidP="00406649">
      <w:pPr>
        <w:pStyle w:val="Textebrut"/>
        <w:numPr>
          <w:ilvl w:val="0"/>
          <w:numId w:val="13"/>
        </w:numPr>
        <w:rPr>
          <w:sz w:val="20"/>
          <w:szCs w:val="20"/>
        </w:rPr>
      </w:pPr>
      <w:r w:rsidRPr="00406649">
        <w:rPr>
          <w:sz w:val="20"/>
          <w:szCs w:val="20"/>
        </w:rPr>
        <w:t xml:space="preserve">Œuvres d’autres origines : nous pouvons vous aiguiller dans vos recherches. Si l’œuvre préexistante est éditée, commencez vos recherches en vous adressant à l’éditeur. </w:t>
      </w:r>
    </w:p>
    <w:p w14:paraId="5B4726B1" w14:textId="77777777" w:rsidR="00A66F65" w:rsidRPr="00406649" w:rsidRDefault="00A66F65" w:rsidP="00A66F65">
      <w:pPr>
        <w:pStyle w:val="Textebrut"/>
        <w:rPr>
          <w:sz w:val="20"/>
          <w:szCs w:val="20"/>
        </w:rPr>
      </w:pPr>
    </w:p>
    <w:p w14:paraId="53A43E8C" w14:textId="77777777" w:rsidR="00A66F65" w:rsidRPr="00406649" w:rsidRDefault="00A66F65" w:rsidP="00A66F65">
      <w:pPr>
        <w:pStyle w:val="Textebrut"/>
        <w:rPr>
          <w:sz w:val="20"/>
          <w:szCs w:val="20"/>
        </w:rPr>
      </w:pPr>
      <w:r w:rsidRPr="00406649">
        <w:rPr>
          <w:sz w:val="20"/>
          <w:szCs w:val="20"/>
        </w:rPr>
        <w:t>Un projet d’adaptation peut faire l’objet d’un contrat d’option : cela permet à un producteur – ou à une adaptatrice ou un adaptateur - de réserver les droits sur une œuvre pendant une courte durée, par exemple pour monter financièrement le projet.</w:t>
      </w:r>
    </w:p>
    <w:p w14:paraId="5F00706D" w14:textId="77777777" w:rsidR="00A66F65" w:rsidRPr="00406649" w:rsidRDefault="00A66F65" w:rsidP="00A66F65">
      <w:pPr>
        <w:pStyle w:val="Textebrut"/>
        <w:rPr>
          <w:sz w:val="20"/>
          <w:szCs w:val="20"/>
        </w:rPr>
      </w:pPr>
    </w:p>
    <w:p w14:paraId="2EE5F132" w14:textId="77777777" w:rsidR="00A66F65" w:rsidRPr="00406649" w:rsidRDefault="00A66F65" w:rsidP="00A66F65">
      <w:pPr>
        <w:pStyle w:val="Textebrut"/>
        <w:rPr>
          <w:sz w:val="20"/>
          <w:szCs w:val="20"/>
        </w:rPr>
      </w:pPr>
      <w:r w:rsidRPr="00406649">
        <w:rPr>
          <w:sz w:val="20"/>
          <w:szCs w:val="20"/>
        </w:rPr>
        <w:t xml:space="preserve">Selon notre expérience, il n’est pas rare qu’un accord de principe soit donné sur la base d’une note d’intention, mais que le droit d’adaptation ne soit finalement délivré que lorsque le texte final de cette dernière aura été approuvé par l’auteur adapté ou par son cessionnaire. </w:t>
      </w:r>
    </w:p>
    <w:p w14:paraId="4662DEB6" w14:textId="77777777" w:rsidR="00A66F65" w:rsidRPr="00406649" w:rsidRDefault="00A66F65" w:rsidP="00A66F65">
      <w:pPr>
        <w:pStyle w:val="Textebrut"/>
        <w:rPr>
          <w:sz w:val="20"/>
          <w:szCs w:val="20"/>
        </w:rPr>
      </w:pPr>
    </w:p>
    <w:p w14:paraId="5A06B3E6" w14:textId="77777777" w:rsidR="00A66F65" w:rsidRPr="00406649" w:rsidRDefault="00A66F65" w:rsidP="00A66F65">
      <w:pPr>
        <w:pStyle w:val="Textebrut"/>
        <w:rPr>
          <w:sz w:val="20"/>
          <w:szCs w:val="20"/>
        </w:rPr>
      </w:pPr>
      <w:r w:rsidRPr="00406649">
        <w:rPr>
          <w:sz w:val="20"/>
          <w:szCs w:val="20"/>
        </w:rPr>
        <w:t>Les droits d’adaptation peuvent être entre les mains de l’auteur ou d’un cessionnaire tels qu’un éditeur ou d’un producteur. Lorsque l’on traite avec un tel cessionnaire, il est important de se faire garantir qu’il détient bien les droits nécessaires pour délivrer l’autorisation sollicitée. Mais si cela s’avère inexact, votre projet d’œuvre dérivée sera quand même en péril, le titulaire réel du droit d’adaptation pouvant s’opposer à tout tiers. Donc, c’est une sage précaution que de vérifier l’intégralité des chaînes contractuelles, surtout si le montage financier est important.</w:t>
      </w:r>
    </w:p>
    <w:p w14:paraId="4E3058D8" w14:textId="77777777" w:rsidR="00A66F65" w:rsidRPr="00406649" w:rsidRDefault="00A66F65" w:rsidP="00A66F65">
      <w:pPr>
        <w:pStyle w:val="Textebrut"/>
        <w:rPr>
          <w:sz w:val="20"/>
          <w:szCs w:val="20"/>
        </w:rPr>
      </w:pPr>
    </w:p>
    <w:p w14:paraId="2FCD2B97" w14:textId="77777777" w:rsidR="00A66F65" w:rsidRPr="00406649" w:rsidRDefault="00A66F65" w:rsidP="00406649">
      <w:pPr>
        <w:pStyle w:val="DOCWEB-Titreparagraphe"/>
        <w:rPr>
          <w:sz w:val="20"/>
          <w:szCs w:val="20"/>
        </w:rPr>
      </w:pPr>
      <w:r w:rsidRPr="00406649">
        <w:t>La SSA à votre service</w:t>
      </w:r>
    </w:p>
    <w:p w14:paraId="6D0E0084" w14:textId="3580160E" w:rsidR="00A66F65" w:rsidRPr="00406649" w:rsidRDefault="00A66F65" w:rsidP="00A66F65">
      <w:pPr>
        <w:pStyle w:val="Textebrut"/>
        <w:rPr>
          <w:sz w:val="20"/>
          <w:szCs w:val="20"/>
        </w:rPr>
      </w:pPr>
      <w:r w:rsidRPr="00406649">
        <w:rPr>
          <w:sz w:val="20"/>
          <w:szCs w:val="20"/>
        </w:rPr>
        <w:t>La SSA tient des modèles de contrats d’adaptation audiovisuelle, ainsi que d’option, à votre disposition (</w:t>
      </w:r>
      <w:hyperlink r:id="rId12" w:history="1">
        <w:r w:rsidRPr="0019391C">
          <w:rPr>
            <w:rStyle w:val="Lienhypertexte"/>
            <w:sz w:val="20"/>
            <w:szCs w:val="20"/>
          </w:rPr>
          <w:t>modèles</w:t>
        </w:r>
        <w:r w:rsidR="0019391C" w:rsidRPr="0019391C">
          <w:rPr>
            <w:rStyle w:val="Lienhypertexte"/>
            <w:sz w:val="20"/>
            <w:szCs w:val="20"/>
          </w:rPr>
          <w:t xml:space="preserve"> de contrat</w:t>
        </w:r>
      </w:hyperlink>
      <w:r w:rsidRPr="00406649">
        <w:rPr>
          <w:sz w:val="20"/>
          <w:szCs w:val="20"/>
        </w:rPr>
        <w:t>).</w:t>
      </w:r>
    </w:p>
    <w:p w14:paraId="4D36BECA" w14:textId="77777777" w:rsidR="00A66F65" w:rsidRPr="00406649" w:rsidRDefault="00A66F65" w:rsidP="00A66F65">
      <w:pPr>
        <w:pStyle w:val="Textebrut"/>
        <w:rPr>
          <w:sz w:val="20"/>
          <w:szCs w:val="20"/>
        </w:rPr>
      </w:pPr>
      <w:r w:rsidRPr="00406649">
        <w:rPr>
          <w:sz w:val="20"/>
          <w:szCs w:val="20"/>
        </w:rPr>
        <w:t xml:space="preserve"> </w:t>
      </w:r>
    </w:p>
    <w:p w14:paraId="48422885" w14:textId="77777777" w:rsidR="00A66F65" w:rsidRPr="00406649" w:rsidRDefault="00A66F65" w:rsidP="00A66F65">
      <w:pPr>
        <w:pStyle w:val="Textebrut"/>
        <w:rPr>
          <w:sz w:val="20"/>
          <w:szCs w:val="20"/>
        </w:rPr>
      </w:pPr>
      <w:r w:rsidRPr="00406649">
        <w:rPr>
          <w:sz w:val="20"/>
          <w:szCs w:val="20"/>
        </w:rPr>
        <w:t>Notre service juridique est à votre disposition pour tout conseil, pour élaborer des modèles spécifiques à votre projet et pour vous accompagner dans votre projet.</w:t>
      </w:r>
    </w:p>
    <w:p w14:paraId="2D1947B1" w14:textId="77777777" w:rsidR="00A66F65" w:rsidRPr="00406649" w:rsidRDefault="00A66F65" w:rsidP="00A66F65">
      <w:pPr>
        <w:pStyle w:val="Textebrut"/>
        <w:rPr>
          <w:sz w:val="20"/>
          <w:szCs w:val="20"/>
        </w:rPr>
      </w:pPr>
    </w:p>
    <w:p w14:paraId="3DE00ED1" w14:textId="77777777" w:rsidR="00A66F65" w:rsidRPr="00406649" w:rsidRDefault="00A66F65" w:rsidP="00A66F65">
      <w:pPr>
        <w:pStyle w:val="Textebrut"/>
        <w:rPr>
          <w:sz w:val="20"/>
          <w:szCs w:val="20"/>
        </w:rPr>
      </w:pPr>
      <w:r w:rsidRPr="00406649">
        <w:rPr>
          <w:sz w:val="20"/>
          <w:szCs w:val="20"/>
        </w:rPr>
        <w:t>Dans sa gestion des droits, la SSA suit les principes de l’espace francophone. Ainsi, l’auteur de l’œuvre préexistante reçoit une partie des droits encaissés pour l’utilisation de l’œuvre dérivée, aux côtés des adaptateurs, scénaristes et réalisateur. Les règlements de répartition, complétés par les déclarations d’œuvre individuelles, fixent les clés de partage que la SSA appliquera lors de ses répartitions.</w:t>
      </w:r>
    </w:p>
    <w:p w14:paraId="57A546A2" w14:textId="77777777" w:rsidR="00A66F65" w:rsidRPr="00406649" w:rsidRDefault="00A66F65" w:rsidP="00A66F65">
      <w:pPr>
        <w:pStyle w:val="Textebrut"/>
        <w:rPr>
          <w:sz w:val="20"/>
          <w:szCs w:val="20"/>
        </w:rPr>
      </w:pPr>
    </w:p>
    <w:p w14:paraId="7A93A577" w14:textId="77777777" w:rsidR="00A66F65" w:rsidRPr="00406649" w:rsidRDefault="00A66F65" w:rsidP="00406649">
      <w:pPr>
        <w:pStyle w:val="DOCWEB-Titreparagraphe"/>
        <w:rPr>
          <w:sz w:val="20"/>
          <w:szCs w:val="20"/>
        </w:rPr>
      </w:pPr>
      <w:r w:rsidRPr="00406649">
        <w:t>Finalement…</w:t>
      </w:r>
    </w:p>
    <w:p w14:paraId="0D3FC6A9" w14:textId="77777777" w:rsidR="00406649" w:rsidRDefault="00A66F65" w:rsidP="00A66F65">
      <w:pPr>
        <w:pStyle w:val="Textebrut"/>
        <w:rPr>
          <w:sz w:val="20"/>
          <w:szCs w:val="20"/>
        </w:rPr>
      </w:pPr>
      <w:r w:rsidRPr="00406649">
        <w:rPr>
          <w:sz w:val="20"/>
          <w:szCs w:val="20"/>
        </w:rPr>
        <w:t xml:space="preserve">Les principes exposés ici sont valables pour toutes les œuvres dérivées, quelle que soit la nature de l’œuvre préexistante. Si le cas de figure typique consiste à adapter une œuvre </w:t>
      </w:r>
    </w:p>
    <w:p w14:paraId="62B501C2" w14:textId="77777777" w:rsidR="00406649" w:rsidRDefault="00406649" w:rsidP="00A66F65">
      <w:pPr>
        <w:pStyle w:val="Textebrut"/>
        <w:rPr>
          <w:sz w:val="20"/>
          <w:szCs w:val="20"/>
        </w:rPr>
      </w:pPr>
    </w:p>
    <w:p w14:paraId="55114A70" w14:textId="77777777" w:rsidR="00406649" w:rsidRDefault="00406649" w:rsidP="00A66F65">
      <w:pPr>
        <w:pStyle w:val="Textebrut"/>
        <w:rPr>
          <w:sz w:val="20"/>
          <w:szCs w:val="20"/>
        </w:rPr>
      </w:pPr>
    </w:p>
    <w:p w14:paraId="13619829" w14:textId="77777777" w:rsidR="00406649" w:rsidRDefault="00A66F65" w:rsidP="00A66F65">
      <w:pPr>
        <w:pStyle w:val="Textebrut"/>
        <w:rPr>
          <w:sz w:val="20"/>
          <w:szCs w:val="20"/>
        </w:rPr>
      </w:pPr>
      <w:proofErr w:type="gramStart"/>
      <w:r w:rsidRPr="00406649">
        <w:rPr>
          <w:sz w:val="20"/>
          <w:szCs w:val="20"/>
        </w:rPr>
        <w:t>littéraire</w:t>
      </w:r>
      <w:proofErr w:type="gramEnd"/>
      <w:r w:rsidRPr="00406649">
        <w:rPr>
          <w:sz w:val="20"/>
          <w:szCs w:val="20"/>
        </w:rPr>
        <w:t xml:space="preserve"> à l’écran ou à la scène, toutes les transpositions entre formes d’expression artistiques sont possibles. Cela est même possible à l’intérieur d’une même discipline : un </w:t>
      </w:r>
      <w:r w:rsidRPr="00406649">
        <w:rPr>
          <w:i/>
          <w:sz w:val="20"/>
          <w:szCs w:val="20"/>
        </w:rPr>
        <w:t>remake</w:t>
      </w:r>
      <w:r w:rsidRPr="00406649">
        <w:rPr>
          <w:sz w:val="20"/>
          <w:szCs w:val="20"/>
        </w:rPr>
        <w:t xml:space="preserve"> n’est rien </w:t>
      </w:r>
    </w:p>
    <w:p w14:paraId="22171ED5" w14:textId="77777777" w:rsidR="00406649" w:rsidRDefault="00406649" w:rsidP="00A66F65">
      <w:pPr>
        <w:pStyle w:val="Textebrut"/>
        <w:rPr>
          <w:sz w:val="20"/>
          <w:szCs w:val="20"/>
        </w:rPr>
      </w:pPr>
    </w:p>
    <w:p w14:paraId="6C06A539" w14:textId="77777777" w:rsidR="00A66F65" w:rsidRPr="00406649" w:rsidRDefault="00A66F65" w:rsidP="00A66F65">
      <w:pPr>
        <w:pStyle w:val="Textebrut"/>
        <w:rPr>
          <w:sz w:val="20"/>
          <w:szCs w:val="20"/>
        </w:rPr>
      </w:pPr>
      <w:proofErr w:type="gramStart"/>
      <w:r w:rsidRPr="00406649">
        <w:rPr>
          <w:sz w:val="20"/>
          <w:szCs w:val="20"/>
        </w:rPr>
        <w:t>d’autre</w:t>
      </w:r>
      <w:proofErr w:type="gramEnd"/>
      <w:r w:rsidRPr="00406649">
        <w:rPr>
          <w:sz w:val="20"/>
          <w:szCs w:val="20"/>
        </w:rPr>
        <w:t xml:space="preserve"> qu’une œuvre dérivée d’un film préexistant. Ainsi, une œuvre dérivée peut être la source d’une autre œuvre dérivée. </w:t>
      </w:r>
    </w:p>
    <w:p w14:paraId="55FD5F5C" w14:textId="77777777" w:rsidR="00A66F65" w:rsidRPr="00406649" w:rsidRDefault="00A66F65" w:rsidP="00A66F65">
      <w:pPr>
        <w:pStyle w:val="Textebrut"/>
        <w:rPr>
          <w:sz w:val="20"/>
          <w:szCs w:val="20"/>
        </w:rPr>
      </w:pPr>
    </w:p>
    <w:p w14:paraId="74403CBD" w14:textId="77777777" w:rsidR="00A66F65" w:rsidRPr="00406649" w:rsidRDefault="00A66F65" w:rsidP="00A66F65">
      <w:pPr>
        <w:pStyle w:val="Textebrut"/>
        <w:rPr>
          <w:sz w:val="20"/>
          <w:szCs w:val="20"/>
        </w:rPr>
      </w:pPr>
      <w:r w:rsidRPr="00406649">
        <w:rPr>
          <w:sz w:val="20"/>
          <w:szCs w:val="20"/>
        </w:rPr>
        <w:t xml:space="preserve">La législation suisse ne diffère guère des autres législations européennes dans les points pertinents pour les adaptations. </w:t>
      </w:r>
    </w:p>
    <w:p w14:paraId="5F670336" w14:textId="77777777" w:rsidR="00A66F65" w:rsidRPr="00406649" w:rsidRDefault="00A66F65" w:rsidP="00A66F65">
      <w:pPr>
        <w:pStyle w:val="Textebrut"/>
        <w:rPr>
          <w:sz w:val="20"/>
          <w:szCs w:val="20"/>
        </w:rPr>
      </w:pPr>
    </w:p>
    <w:p w14:paraId="0DF325D5" w14:textId="77777777" w:rsidR="00A66F65" w:rsidRPr="00406649" w:rsidRDefault="00A66F65" w:rsidP="00A66F65">
      <w:pPr>
        <w:pStyle w:val="Textebrut"/>
        <w:rPr>
          <w:sz w:val="20"/>
          <w:szCs w:val="20"/>
        </w:rPr>
      </w:pPr>
      <w:r w:rsidRPr="00406649">
        <w:rPr>
          <w:sz w:val="20"/>
          <w:szCs w:val="20"/>
        </w:rPr>
        <w:t>Informations connexes</w:t>
      </w:r>
      <w:r w:rsidR="00406649" w:rsidRPr="00406649">
        <w:rPr>
          <w:sz w:val="20"/>
          <w:szCs w:val="20"/>
        </w:rPr>
        <w:t xml:space="preserve"> : </w:t>
      </w:r>
      <w:hyperlink r:id="rId13" w:history="1">
        <w:r w:rsidR="00406649" w:rsidRPr="00406649">
          <w:rPr>
            <w:rStyle w:val="Lienhypertexte"/>
            <w:sz w:val="20"/>
            <w:szCs w:val="20"/>
          </w:rPr>
          <w:t>https://www.ssa.ch/fr/news/inspire-de-versus-adapte-de</w:t>
        </w:r>
      </w:hyperlink>
    </w:p>
    <w:p w14:paraId="43FF0F7B" w14:textId="77777777" w:rsidR="00BA6D69" w:rsidRDefault="00BA6D69" w:rsidP="00BB77D9">
      <w:pPr>
        <w:pStyle w:val="DOCWEB-Paragraphenormal"/>
      </w:pPr>
    </w:p>
    <w:sectPr w:rsidR="00BA6D69" w:rsidSect="00606B4D">
      <w:headerReference w:type="default" r:id="rId14"/>
      <w:footerReference w:type="default" r:id="rId15"/>
      <w:headerReference w:type="first" r:id="rId16"/>
      <w:footerReference w:type="first" r:id="rId17"/>
      <w:pgSz w:w="11907" w:h="16840" w:code="9"/>
      <w:pgMar w:top="2835" w:right="1247" w:bottom="1701" w:left="2098" w:header="1418" w:footer="1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0818" w14:textId="77777777" w:rsidR="00A607E5" w:rsidRDefault="00A607E5">
      <w:r>
        <w:separator/>
      </w:r>
    </w:p>
  </w:endnote>
  <w:endnote w:type="continuationSeparator" w:id="0">
    <w:p w14:paraId="303EFEF6" w14:textId="77777777" w:rsidR="00A607E5" w:rsidRDefault="00A6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4516" w14:textId="77777777" w:rsidR="00660FB6" w:rsidRDefault="00755AFC">
    <w:pPr>
      <w:pStyle w:val="Pieddepage"/>
    </w:pPr>
    <w:r>
      <w:rPr>
        <w:noProof/>
        <w:lang w:val="fr-CH" w:eastAsia="fr-CH"/>
      </w:rPr>
      <mc:AlternateContent>
        <mc:Choice Requires="wps">
          <w:drawing>
            <wp:anchor distT="0" distB="0" distL="114300" distR="114300" simplePos="0" relativeHeight="251678720" behindDoc="0" locked="0" layoutInCell="0" allowOverlap="0" wp14:anchorId="2DE0B6A8" wp14:editId="20CC1F54">
              <wp:simplePos x="0" y="0"/>
              <wp:positionH relativeFrom="column">
                <wp:posOffset>-741680</wp:posOffset>
              </wp:positionH>
              <wp:positionV relativeFrom="paragraph">
                <wp:posOffset>572770</wp:posOffset>
              </wp:positionV>
              <wp:extent cx="543600" cy="144000"/>
              <wp:effectExtent l="0" t="0" r="8890" b="8890"/>
              <wp:wrapNone/>
              <wp:docPr id="6" name="Zone de texte 6"/>
              <wp:cNvGraphicFramePr/>
              <a:graphic xmlns:a="http://schemas.openxmlformats.org/drawingml/2006/main">
                <a:graphicData uri="http://schemas.microsoft.com/office/word/2010/wordprocessingShape">
                  <wps:wsp>
                    <wps:cNvSpPr txBox="1"/>
                    <wps:spPr>
                      <a:xfrm>
                        <a:off x="0" y="0"/>
                        <a:ext cx="543600" cy="1440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6DFCA274" w14:textId="52105AF2" w:rsidR="00755AFC" w:rsidRPr="00660FB6" w:rsidRDefault="00755AFC" w:rsidP="00755AFC">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19391C">
                            <w:rPr>
                              <w:sz w:val="11"/>
                              <w:szCs w:val="11"/>
                            </w:rPr>
                            <w:t>U28F0918</w:t>
                          </w:r>
                          <w:r>
                            <w:rPr>
                              <w:sz w:val="11"/>
                              <w:szCs w:val="1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0B6A8" id="_x0000_t202" coordsize="21600,21600" o:spt="202" path="m,l,21600r21600,l21600,xe">
              <v:stroke joinstyle="miter"/>
              <v:path gradientshapeok="t" o:connecttype="rect"/>
            </v:shapetype>
            <v:shape id="Zone de texte 6" o:spid="_x0000_s1026" type="#_x0000_t202" style="position:absolute;margin-left:-58.4pt;margin-top:45.1pt;width:42.8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saWAIAACkFAAAOAAAAZHJzL2Uyb0RvYy54bWysVE1v2zAMvQ/YfxB0X510XTEEdYqsRYcB&#10;RVusHXpWZCkxJosaxcTOfv0o2U66bJcOu8g0v0Q+Purismuc2BqMNfhSTk8mUhivoar9qpTfnm7e&#10;fZQikvKVcuBNKXcmysv52zcXbZiZU1iDqwwKTuLjrA2lXBOFWVFEvTaNiicQjGejBWwU8S+uigpV&#10;y9kbV5xOJudFC1gFBG1iZO11b5TznN9ao+ne2mhIuFJybZRPzOcyncX8Qs1WqMK61kMZ6h+qaFTt&#10;+dJ9qmtFSmyw/iNVU2uECJZONDQFWFtrk3vgbqaTo24e1yqY3AuDE8Mepvj/0uq77WN4QEHdJ+h4&#10;gAmQNsRZZGXqp7PYpC9XKtjOEO72sJmOhGblh7P35xO2aDZNz84mLHOW4hAcMNJnA41IQimRp5LB&#10;UtvbSL3r6JLu8nBTO5cn47xo032/qTmz80lj8oCHHIeqs0Q7Z5KP81+NFXWVi0+KTC1z5VBsFZNC&#10;aW085b5zXvZOXpYreE3g4H+o6jXBfR/jzeBpH9zUHjB3f1R29X0s2fb+DPiLvpNI3bIbprmEasdD&#10;Ruj5H4O+qXkUtyrSg0ImPE+Pl5ju+bAOGHIYJCnWgD//pk/+zEO2StHyApUy/tgoNFK4L54ZmrZt&#10;FHAUlqPgN80VMPxTfh6CziIHILlRtAjNM+/2It3CJuU131VKGsUr6teY3wZtFovsxDsVFN36x6BT&#10;6jSNRKyn7llhGNhHTNs7GFdLzY5I2PumSA+LDYGtM0MToD2KA9C8j5njw9uRFv7lf/Y6vHDzXwAA&#10;AP//AwBQSwMEFAAGAAgAAAAhAKch2cviAAAACwEAAA8AAABkcnMvZG93bnJldi54bWxMj8FKxDAQ&#10;hu+C7xBG8CLdNBEXtzZdRHFBYQ92dxVv2WZsi01SmnRb397xpLcZ5uOf78/Xs+3YCYfQeqdALFJg&#10;6CpvWlcr2O+ekltgIWpndOcdKvjGAOvi/CzXmfGTe8VTGWtGIS5kWkETY59xHqoGrQ4L36Oj26cf&#10;rI60DjU3g54o3HZcpumSW906+tDoHh8arL7K0SrYbd9RbqbN2+H5xX88oryK5c2o1OXFfH8HLOIc&#10;/2D41Sd1KMjp6EdnAusUJEIsyT0qWKUSGBHJtaDhSKiQK+BFzv93KH4AAAD//wMAUEsBAi0AFAAG&#10;AAgAAAAhALaDOJL+AAAA4QEAABMAAAAAAAAAAAAAAAAAAAAAAFtDb250ZW50X1R5cGVzXS54bWxQ&#10;SwECLQAUAAYACAAAACEAOP0h/9YAAACUAQAACwAAAAAAAAAAAAAAAAAvAQAAX3JlbHMvLnJlbHNQ&#10;SwECLQAUAAYACAAAACEAsegbGlgCAAApBQAADgAAAAAAAAAAAAAAAAAuAgAAZHJzL2Uyb0RvYy54&#10;bWxQSwECLQAUAAYACAAAACEApyHZy+IAAAALAQAADwAAAAAAAAAAAAAAAACyBAAAZHJzL2Rvd25y&#10;ZXYueG1sUEsFBgAAAAAEAAQA8wAAAMEFAAAAAA==&#10;" o:allowincell="f" o:allowoverlap="f" filled="f" stroked="f" strokeweight="0">
              <v:textbox inset="0,0,0,0">
                <w:txbxContent>
                  <w:p w14:paraId="6DFCA274" w14:textId="52105AF2" w:rsidR="00755AFC" w:rsidRPr="00660FB6" w:rsidRDefault="00755AFC" w:rsidP="00755AFC">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19391C">
                      <w:rPr>
                        <w:sz w:val="11"/>
                        <w:szCs w:val="11"/>
                      </w:rPr>
                      <w:t>U28F0918</w:t>
                    </w:r>
                    <w:r>
                      <w:rPr>
                        <w:sz w:val="11"/>
                        <w:szCs w:val="11"/>
                      </w:rPr>
                      <w:fldChar w:fldCharType="end"/>
                    </w:r>
                  </w:p>
                </w:txbxContent>
              </v:textbox>
            </v:shape>
          </w:pict>
        </mc:Fallback>
      </mc:AlternateContent>
    </w:r>
    <w:r w:rsidR="00660FB6" w:rsidRPr="002A26F0">
      <w:rPr>
        <w:noProof/>
        <w:lang w:val="fr-CH" w:eastAsia="fr-CH"/>
      </w:rPr>
      <w:drawing>
        <wp:anchor distT="0" distB="0" distL="114300" distR="114300" simplePos="0" relativeHeight="251675648" behindDoc="0" locked="0" layoutInCell="0" allowOverlap="0" wp14:anchorId="51DA9A41" wp14:editId="4A5C870E">
          <wp:simplePos x="0" y="0"/>
          <wp:positionH relativeFrom="column">
            <wp:posOffset>-64770</wp:posOffset>
          </wp:positionH>
          <wp:positionV relativeFrom="page">
            <wp:posOffset>9865360</wp:posOffset>
          </wp:positionV>
          <wp:extent cx="5040000" cy="5400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BYLIN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5618" w14:textId="77777777" w:rsidR="00660FB6" w:rsidRDefault="00660FB6">
    <w:pPr>
      <w:pStyle w:val="Pieddepage"/>
    </w:pPr>
    <w:r>
      <w:rPr>
        <w:noProof/>
        <w:lang w:val="fr-CH" w:eastAsia="fr-CH"/>
      </w:rPr>
      <mc:AlternateContent>
        <mc:Choice Requires="wps">
          <w:drawing>
            <wp:anchor distT="0" distB="0" distL="114300" distR="114300" simplePos="0" relativeHeight="251676672" behindDoc="0" locked="0" layoutInCell="0" allowOverlap="0" wp14:anchorId="66708460" wp14:editId="05934699">
              <wp:simplePos x="0" y="0"/>
              <wp:positionH relativeFrom="column">
                <wp:posOffset>-741680</wp:posOffset>
              </wp:positionH>
              <wp:positionV relativeFrom="paragraph">
                <wp:posOffset>572770</wp:posOffset>
              </wp:positionV>
              <wp:extent cx="543600" cy="144000"/>
              <wp:effectExtent l="0" t="0" r="8890" b="8890"/>
              <wp:wrapNone/>
              <wp:docPr id="5" name="Zone de texte 5"/>
              <wp:cNvGraphicFramePr/>
              <a:graphic xmlns:a="http://schemas.openxmlformats.org/drawingml/2006/main">
                <a:graphicData uri="http://schemas.microsoft.com/office/word/2010/wordprocessingShape">
                  <wps:wsp>
                    <wps:cNvSpPr txBox="1"/>
                    <wps:spPr>
                      <a:xfrm>
                        <a:off x="0" y="0"/>
                        <a:ext cx="543600" cy="1440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34B32CFF" w14:textId="7898FF0D" w:rsidR="00660FB6" w:rsidRPr="00660FB6" w:rsidRDefault="00755AFC">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19391C">
                            <w:rPr>
                              <w:sz w:val="11"/>
                              <w:szCs w:val="11"/>
                            </w:rPr>
                            <w:t>U28F0918</w:t>
                          </w:r>
                          <w:r>
                            <w:rPr>
                              <w:sz w:val="11"/>
                              <w:szCs w:val="1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08460" id="_x0000_t202" coordsize="21600,21600" o:spt="202" path="m,l,21600r21600,l21600,xe">
              <v:stroke joinstyle="miter"/>
              <v:path gradientshapeok="t" o:connecttype="rect"/>
            </v:shapetype>
            <v:shape id="Zone de texte 5" o:spid="_x0000_s1027" type="#_x0000_t202" style="position:absolute;margin-left:-58.4pt;margin-top:45.1pt;width:42.8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TFWgIAADAFAAAOAAAAZHJzL2Uyb0RvYy54bWysVN1v0zAQf0fif7D8ztKOMaFq6VQ6DSFN&#10;28SG9uw6dhvh+Mz52qT89ZydpB2DlyFenMt9/Hwfv/PFZdc4sTMYa/ClnJ5MpDBeQ1X7dSm/PV6/&#10;+yhFJOUr5cCbUu5NlJfzt28u2jAzp7ABVxkUDOLjrA2l3BCFWVFEvTGNiicQjGejBWwU8S+uiwpV&#10;y+iNK04nk/OiBawCgjYxsvaqN8p5xrfWaLqzNhoSrpScG+UT87lKZzG/ULM1qrCp9ZCG+ocsGlV7&#10;vvQAdaVIiS3Wf0A1tUaIYOlEQ1OAtbU2uQauZjp5Uc3DRgWTa+HmxHBoU/x/sPp29xDuUVD3CToe&#10;YGpIG+IssjLV01ls0pczFWznFu4PbTMdCc3KD2fvzyds0Wyanp1NWGaU4hgcMNJnA41IQimRp5Kb&#10;pXY3kXrX0SXd5eG6di5PxnnRpvt+UzOy80lj8oAHjGPWWaK9M8nH+a/GirrKySdFppZZOhQ7xaRQ&#10;WhtPue6My97Jy3IGrwkc/I9ZvSa4r2O8GTwdgpvaA+bqX6RdfR9Ttr0/N/xZ3UmkbtVx4c+GuoJq&#10;z7NG6NcgBn1d80RuVKR7hcx7HiLvMt3xYR1w52GQpNgA/vybPvkzHdkqRct7VMr4Y6vQSOG+eCZq&#10;WrpRwFFYjYLfNkvgKUz5lQg6ixyA5EbRIjRPvOKLdAublNd8VylpFJfUbzM/EdosFtmJVysouvEP&#10;QSfoNJTEr8fuSWEYSEjM3lsYN0zNXnCx902RHhZbAltnoqa+9l0c+s1rmak+PCFp75//Z6/jQzf/&#10;BQAA//8DAFBLAwQUAAYACAAAACEApyHZy+IAAAALAQAADwAAAGRycy9kb3ducmV2LnhtbEyPwUrE&#10;MBCG74LvEEbwIt00ERe3Nl1EcUFhD3Z3FW/ZZmyLTVKadFvf3vGktxnm45/vz9ez7dgJh9B6p0As&#10;UmDoKm9aVyvY756SW2Ahamd05x0q+MYA6+L8LNeZ8ZN7xVMZa0YhLmRaQRNjn3EeqgatDgvfo6Pb&#10;px+sjrQONTeDnijcdlym6ZJb3Tr60OgeHxqsvsrRKtht31Fups3b4fnFfzyivIrlzajU5cV8fwcs&#10;4hz/YPjVJ3UoyOnoR2cC6xQkQizJPSpYpRIYEcm1oOFIqJAr4EXO/3cofgAAAP//AwBQSwECLQAU&#10;AAYACAAAACEAtoM4kv4AAADhAQAAEwAAAAAAAAAAAAAAAAAAAAAAW0NvbnRlbnRfVHlwZXNdLnht&#10;bFBLAQItABQABgAIAAAAIQA4/SH/1gAAAJQBAAALAAAAAAAAAAAAAAAAAC8BAABfcmVscy8ucmVs&#10;c1BLAQItABQABgAIAAAAIQDsmSTFWgIAADAFAAAOAAAAAAAAAAAAAAAAAC4CAABkcnMvZTJvRG9j&#10;LnhtbFBLAQItABQABgAIAAAAIQCnIdnL4gAAAAsBAAAPAAAAAAAAAAAAAAAAALQEAABkcnMvZG93&#10;bnJldi54bWxQSwUGAAAAAAQABADzAAAAwwUAAAAA&#10;" o:allowincell="f" o:allowoverlap="f" filled="f" stroked="f" strokeweight="0">
              <v:textbox inset="0,0,0,0">
                <w:txbxContent>
                  <w:p w14:paraId="34B32CFF" w14:textId="7898FF0D" w:rsidR="00660FB6" w:rsidRPr="00660FB6" w:rsidRDefault="00755AFC">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19391C">
                      <w:rPr>
                        <w:sz w:val="11"/>
                        <w:szCs w:val="11"/>
                      </w:rPr>
                      <w:t>U28F0918</w:t>
                    </w:r>
                    <w:r>
                      <w:rPr>
                        <w:sz w:val="11"/>
                        <w:szCs w:val="11"/>
                      </w:rPr>
                      <w:fldChar w:fldCharType="end"/>
                    </w:r>
                  </w:p>
                </w:txbxContent>
              </v:textbox>
            </v:shape>
          </w:pict>
        </mc:Fallback>
      </mc:AlternateContent>
    </w:r>
    <w:r w:rsidRPr="002A26F0">
      <w:rPr>
        <w:noProof/>
        <w:lang w:val="fr-CH" w:eastAsia="fr-CH"/>
      </w:rPr>
      <w:drawing>
        <wp:anchor distT="0" distB="0" distL="114300" distR="114300" simplePos="0" relativeHeight="251673600" behindDoc="0" locked="0" layoutInCell="0" allowOverlap="0" wp14:anchorId="7E080863" wp14:editId="1536AFA2">
          <wp:simplePos x="0" y="0"/>
          <wp:positionH relativeFrom="column">
            <wp:posOffset>-64770</wp:posOffset>
          </wp:positionH>
          <wp:positionV relativeFrom="page">
            <wp:posOffset>9865360</wp:posOffset>
          </wp:positionV>
          <wp:extent cx="5040000" cy="540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BYLIN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B6E1" w14:textId="77777777" w:rsidR="00A607E5" w:rsidRDefault="00A607E5">
      <w:r>
        <w:separator/>
      </w:r>
    </w:p>
  </w:footnote>
  <w:footnote w:type="continuationSeparator" w:id="0">
    <w:p w14:paraId="338F11DD" w14:textId="77777777" w:rsidR="00A607E5" w:rsidRDefault="00A60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5F24" w14:textId="77777777" w:rsidR="00C84F47" w:rsidRPr="00AD4A72" w:rsidRDefault="00751232" w:rsidP="00AD4A72">
    <w:pPr>
      <w:pStyle w:val="En-tte"/>
      <w:jc w:val="right"/>
      <w:rPr>
        <w:sz w:val="18"/>
        <w:szCs w:val="18"/>
      </w:rPr>
    </w:pPr>
    <w:r>
      <w:rPr>
        <w:noProof/>
        <w:lang w:val="fr-CH" w:eastAsia="fr-CH"/>
      </w:rPr>
      <w:drawing>
        <wp:anchor distT="0" distB="0" distL="114300" distR="114300" simplePos="0" relativeHeight="251671552" behindDoc="0" locked="0" layoutInCell="0" allowOverlap="0" wp14:anchorId="4213E1F1" wp14:editId="09CC444C">
          <wp:simplePos x="0" y="0"/>
          <wp:positionH relativeFrom="column">
            <wp:posOffset>-872215</wp:posOffset>
          </wp:positionH>
          <wp:positionV relativeFrom="page">
            <wp:posOffset>323850</wp:posOffset>
          </wp:positionV>
          <wp:extent cx="2967969" cy="1465200"/>
          <wp:effectExtent l="0" t="0" r="4445"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2967969" cy="1465200"/>
                  </a:xfrm>
                  <a:prstGeom prst="rect">
                    <a:avLst/>
                  </a:prstGeom>
                </pic:spPr>
              </pic:pic>
            </a:graphicData>
          </a:graphic>
          <wp14:sizeRelH relativeFrom="margin">
            <wp14:pctWidth>0</wp14:pctWidth>
          </wp14:sizeRelH>
          <wp14:sizeRelV relativeFrom="margin">
            <wp14:pctHeight>0</wp14:pctHeight>
          </wp14:sizeRelV>
        </wp:anchor>
      </w:drawing>
    </w:r>
    <w:r w:rsidR="00C84F47" w:rsidRPr="00AD4A72">
      <w:rPr>
        <w:sz w:val="18"/>
        <w:szCs w:val="18"/>
      </w:rPr>
      <w:tab/>
    </w:r>
    <w:r w:rsidR="00C84F47" w:rsidRPr="00AD4A72">
      <w:rPr>
        <w:sz w:val="18"/>
        <w:szCs w:val="18"/>
      </w:rPr>
      <w:fldChar w:fldCharType="begin"/>
    </w:r>
    <w:r w:rsidR="00C84F47" w:rsidRPr="00AD4A72">
      <w:rPr>
        <w:sz w:val="18"/>
        <w:szCs w:val="18"/>
      </w:rPr>
      <w:instrText>PAGE</w:instrText>
    </w:r>
    <w:r w:rsidR="00C84F47" w:rsidRPr="00AD4A72">
      <w:rPr>
        <w:sz w:val="18"/>
        <w:szCs w:val="18"/>
      </w:rPr>
      <w:fldChar w:fldCharType="separate"/>
    </w:r>
    <w:r w:rsidR="0038741B">
      <w:rPr>
        <w:noProof/>
        <w:sz w:val="18"/>
        <w:szCs w:val="18"/>
      </w:rPr>
      <w:t>3</w:t>
    </w:r>
    <w:r w:rsidR="00C84F47" w:rsidRPr="00AD4A72">
      <w:rPr>
        <w:sz w:val="18"/>
        <w:szCs w:val="18"/>
      </w:rPr>
      <w:fldChar w:fldCharType="end"/>
    </w:r>
    <w:r w:rsidR="00AD4A72" w:rsidRPr="00AD4A72">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6C86" w14:textId="77777777" w:rsidR="002A26F0" w:rsidRDefault="00751232">
    <w:pPr>
      <w:pStyle w:val="En-tte"/>
    </w:pPr>
    <w:r>
      <w:rPr>
        <w:noProof/>
        <w:lang w:val="fr-CH" w:eastAsia="fr-CH"/>
      </w:rPr>
      <w:drawing>
        <wp:anchor distT="0" distB="0" distL="114300" distR="114300" simplePos="0" relativeHeight="251669504" behindDoc="0" locked="0" layoutInCell="0" allowOverlap="0" wp14:anchorId="5AB5FCF3" wp14:editId="6DE2AF2C">
          <wp:simplePos x="0" y="0"/>
          <wp:positionH relativeFrom="column">
            <wp:posOffset>-872215</wp:posOffset>
          </wp:positionH>
          <wp:positionV relativeFrom="page">
            <wp:posOffset>323850</wp:posOffset>
          </wp:positionV>
          <wp:extent cx="2967969" cy="1465200"/>
          <wp:effectExtent l="0" t="0" r="4445"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2967969" cy="14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21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8C6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C230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542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E2F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EC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624D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BC31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9AB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A4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16085"/>
    <w:multiLevelType w:val="hybridMultilevel"/>
    <w:tmpl w:val="3B0A7736"/>
    <w:lvl w:ilvl="0" w:tplc="AF46BE68">
      <w:start w:val="240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40B4122"/>
    <w:multiLevelType w:val="hybridMultilevel"/>
    <w:tmpl w:val="0E9855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B4F2009"/>
    <w:multiLevelType w:val="hybridMultilevel"/>
    <w:tmpl w:val="5E625A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610363005">
    <w:abstractNumId w:val="8"/>
  </w:num>
  <w:num w:numId="2" w16cid:durableId="1122265466">
    <w:abstractNumId w:val="3"/>
  </w:num>
  <w:num w:numId="3" w16cid:durableId="621962445">
    <w:abstractNumId w:val="2"/>
  </w:num>
  <w:num w:numId="4" w16cid:durableId="569266331">
    <w:abstractNumId w:val="1"/>
  </w:num>
  <w:num w:numId="5" w16cid:durableId="930897597">
    <w:abstractNumId w:val="0"/>
  </w:num>
  <w:num w:numId="6" w16cid:durableId="331418353">
    <w:abstractNumId w:val="9"/>
  </w:num>
  <w:num w:numId="7" w16cid:durableId="1339886171">
    <w:abstractNumId w:val="7"/>
  </w:num>
  <w:num w:numId="8" w16cid:durableId="1078214748">
    <w:abstractNumId w:val="6"/>
  </w:num>
  <w:num w:numId="9" w16cid:durableId="1776249949">
    <w:abstractNumId w:val="5"/>
  </w:num>
  <w:num w:numId="10" w16cid:durableId="1057313125">
    <w:abstractNumId w:val="4"/>
  </w:num>
  <w:num w:numId="11" w16cid:durableId="319578216">
    <w:abstractNumId w:val="10"/>
  </w:num>
  <w:num w:numId="12" w16cid:durableId="1502038462">
    <w:abstractNumId w:val="11"/>
  </w:num>
  <w:num w:numId="13" w16cid:durableId="1099527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65"/>
    <w:rsid w:val="0001730E"/>
    <w:rsid w:val="000279C5"/>
    <w:rsid w:val="00043652"/>
    <w:rsid w:val="000569A6"/>
    <w:rsid w:val="000C3B3B"/>
    <w:rsid w:val="00103576"/>
    <w:rsid w:val="00184AF3"/>
    <w:rsid w:val="0019391C"/>
    <w:rsid w:val="001F1FA3"/>
    <w:rsid w:val="00200F5C"/>
    <w:rsid w:val="00203BFF"/>
    <w:rsid w:val="00247833"/>
    <w:rsid w:val="0026034A"/>
    <w:rsid w:val="0026577E"/>
    <w:rsid w:val="00280AF2"/>
    <w:rsid w:val="002A26F0"/>
    <w:rsid w:val="002C03B6"/>
    <w:rsid w:val="002C0F09"/>
    <w:rsid w:val="00330EBC"/>
    <w:rsid w:val="00384247"/>
    <w:rsid w:val="0038741B"/>
    <w:rsid w:val="003D475D"/>
    <w:rsid w:val="003E4AF9"/>
    <w:rsid w:val="00406649"/>
    <w:rsid w:val="00412AAA"/>
    <w:rsid w:val="00606B4D"/>
    <w:rsid w:val="00610493"/>
    <w:rsid w:val="006546EE"/>
    <w:rsid w:val="00655EC8"/>
    <w:rsid w:val="00660D6A"/>
    <w:rsid w:val="00660FB6"/>
    <w:rsid w:val="006B0AF2"/>
    <w:rsid w:val="006B585C"/>
    <w:rsid w:val="00751232"/>
    <w:rsid w:val="00755AFC"/>
    <w:rsid w:val="00787ED0"/>
    <w:rsid w:val="008606C0"/>
    <w:rsid w:val="00862908"/>
    <w:rsid w:val="00872D07"/>
    <w:rsid w:val="00894378"/>
    <w:rsid w:val="009C449C"/>
    <w:rsid w:val="009C62E6"/>
    <w:rsid w:val="009D1BF2"/>
    <w:rsid w:val="009D445C"/>
    <w:rsid w:val="00A05628"/>
    <w:rsid w:val="00A133ED"/>
    <w:rsid w:val="00A416EB"/>
    <w:rsid w:val="00A52761"/>
    <w:rsid w:val="00A607E5"/>
    <w:rsid w:val="00A66F65"/>
    <w:rsid w:val="00AB6B32"/>
    <w:rsid w:val="00AD4A72"/>
    <w:rsid w:val="00B9505B"/>
    <w:rsid w:val="00BA6D69"/>
    <w:rsid w:val="00BB77D9"/>
    <w:rsid w:val="00C15910"/>
    <w:rsid w:val="00C84F47"/>
    <w:rsid w:val="00D0307A"/>
    <w:rsid w:val="00D61E55"/>
    <w:rsid w:val="00D75139"/>
    <w:rsid w:val="00D9441B"/>
    <w:rsid w:val="00DA67C9"/>
    <w:rsid w:val="00DB6DCA"/>
    <w:rsid w:val="00E529D0"/>
    <w:rsid w:val="00E95E1F"/>
    <w:rsid w:val="00F155D9"/>
    <w:rsid w:val="00F7102E"/>
    <w:rsid w:val="00FB0A1B"/>
    <w:rsid w:val="00FC76E0"/>
    <w:rsid w:val="00FF4D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D0C102"/>
  <w15:docId w15:val="{6BB265E5-6B32-4F7B-98D8-119B9DCD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F2"/>
    <w:rPr>
      <w:rFonts w:ascii="Arial" w:eastAsiaTheme="minorHAnsi" w:hAnsi="Arial"/>
      <w:sz w:val="22"/>
      <w:szCs w:val="22"/>
      <w:lang w:val="fr-FR" w:eastAsia="en-US"/>
    </w:rPr>
  </w:style>
  <w:style w:type="paragraph" w:styleId="Titre1">
    <w:name w:val="heading 1"/>
    <w:basedOn w:val="Normal"/>
    <w:next w:val="Normal"/>
    <w:qFormat/>
    <w:rsid w:val="00280AF2"/>
    <w:pPr>
      <w:spacing w:before="240"/>
      <w:outlineLvl w:val="0"/>
    </w:pPr>
    <w:rPr>
      <w:b/>
      <w:bCs/>
      <w:sz w:val="24"/>
      <w:szCs w:val="24"/>
      <w:u w:val="single"/>
    </w:rPr>
  </w:style>
  <w:style w:type="paragraph" w:styleId="Titre2">
    <w:name w:val="heading 2"/>
    <w:basedOn w:val="Normal"/>
    <w:next w:val="Normal"/>
    <w:qFormat/>
    <w:rsid w:val="00280AF2"/>
    <w:pPr>
      <w:spacing w:before="120"/>
      <w:outlineLvl w:val="1"/>
    </w:pPr>
    <w:rPr>
      <w:b/>
      <w:bCs/>
      <w:u w:val="single"/>
    </w:rPr>
  </w:style>
  <w:style w:type="paragraph" w:styleId="Titre3">
    <w:name w:val="heading 3"/>
    <w:basedOn w:val="Normal"/>
    <w:next w:val="Retraitnormal"/>
    <w:qFormat/>
    <w:rsid w:val="00280AF2"/>
    <w:pPr>
      <w:spacing w:before="120"/>
      <w:outlineLvl w:val="2"/>
    </w:pPr>
    <w:rPr>
      <w:u w:val="single"/>
    </w:rPr>
  </w:style>
  <w:style w:type="paragraph" w:styleId="Titre4">
    <w:name w:val="heading 4"/>
    <w:basedOn w:val="Normal"/>
    <w:next w:val="Retraitnormal"/>
    <w:link w:val="Titre4Car"/>
    <w:qFormat/>
    <w:rsid w:val="00280AF2"/>
    <w:pPr>
      <w:spacing w:before="240"/>
      <w:ind w:left="993" w:hanging="993"/>
      <w:jc w:val="both"/>
      <w:outlineLvl w:val="3"/>
    </w:pPr>
    <w:rPr>
      <w:rFonts w:eastAsia="Times New Roman"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80AF2"/>
    <w:pPr>
      <w:tabs>
        <w:tab w:val="center" w:pos="4535"/>
        <w:tab w:val="right" w:pos="9071"/>
      </w:tabs>
    </w:pPr>
    <w:rPr>
      <w:sz w:val="20"/>
      <w:szCs w:val="20"/>
    </w:rPr>
  </w:style>
  <w:style w:type="paragraph" w:styleId="En-tte">
    <w:name w:val="header"/>
    <w:basedOn w:val="Normal"/>
    <w:link w:val="En-tteCar"/>
    <w:rsid w:val="00280AF2"/>
    <w:pPr>
      <w:tabs>
        <w:tab w:val="center" w:pos="4535"/>
        <w:tab w:val="right" w:pos="9071"/>
      </w:tabs>
    </w:pPr>
    <w:rPr>
      <w:sz w:val="20"/>
      <w:szCs w:val="20"/>
    </w:rPr>
  </w:style>
  <w:style w:type="paragraph" w:styleId="Retraitnormal">
    <w:name w:val="Normal Indent"/>
    <w:basedOn w:val="Normal"/>
    <w:rsid w:val="00280AF2"/>
    <w:pPr>
      <w:ind w:left="709"/>
    </w:pPr>
  </w:style>
  <w:style w:type="paragraph" w:customStyle="1" w:styleId="Adresse">
    <w:name w:val="Adresse"/>
    <w:basedOn w:val="Normal"/>
    <w:autoRedefine/>
    <w:pPr>
      <w:tabs>
        <w:tab w:val="left" w:pos="4961"/>
        <w:tab w:val="center" w:pos="6379"/>
      </w:tabs>
      <w:ind w:left="4961" w:right="-567"/>
    </w:pPr>
  </w:style>
  <w:style w:type="paragraph" w:customStyle="1" w:styleId="Annexe">
    <w:name w:val="Annexe"/>
    <w:basedOn w:val="Normal"/>
    <w:rsid w:val="00280AF2"/>
  </w:style>
  <w:style w:type="paragraph" w:customStyle="1" w:styleId="Rfrence">
    <w:name w:val="Référence"/>
    <w:basedOn w:val="Adresse"/>
    <w:pPr>
      <w:ind w:left="0"/>
    </w:pPr>
    <w:rPr>
      <w:lang w:val="fr-CH"/>
    </w:rPr>
  </w:style>
  <w:style w:type="paragraph" w:styleId="Signature">
    <w:name w:val="Signature"/>
    <w:basedOn w:val="Normal"/>
    <w:link w:val="SignatureCar"/>
    <w:autoRedefine/>
    <w:rsid w:val="00280AF2"/>
  </w:style>
  <w:style w:type="character" w:customStyle="1" w:styleId="SignatureCar">
    <w:name w:val="Signature Car"/>
    <w:link w:val="Signature"/>
    <w:rsid w:val="00280AF2"/>
    <w:rPr>
      <w:rFonts w:ascii="Arial" w:eastAsiaTheme="minorHAnsi" w:hAnsi="Arial"/>
      <w:sz w:val="22"/>
      <w:szCs w:val="22"/>
      <w:lang w:val="fr-FR" w:eastAsia="en-US"/>
    </w:rPr>
  </w:style>
  <w:style w:type="character" w:customStyle="1" w:styleId="En-tteCar">
    <w:name w:val="En-tête Car"/>
    <w:basedOn w:val="Policepardfaut"/>
    <w:link w:val="En-tte"/>
    <w:rsid w:val="00280AF2"/>
    <w:rPr>
      <w:rFonts w:ascii="Arial" w:eastAsiaTheme="minorHAnsi" w:hAnsi="Arial"/>
      <w:lang w:val="fr-FR" w:eastAsia="en-US"/>
    </w:rPr>
  </w:style>
  <w:style w:type="character" w:customStyle="1" w:styleId="PieddepageCar">
    <w:name w:val="Pied de page Car"/>
    <w:basedOn w:val="Policepardfaut"/>
    <w:link w:val="Pieddepage"/>
    <w:rsid w:val="00280AF2"/>
    <w:rPr>
      <w:rFonts w:ascii="Arial" w:eastAsiaTheme="minorHAnsi" w:hAnsi="Arial"/>
      <w:lang w:val="fr-FR" w:eastAsia="en-US"/>
    </w:rPr>
  </w:style>
  <w:style w:type="paragraph" w:styleId="Textedebulles">
    <w:name w:val="Balloon Text"/>
    <w:basedOn w:val="Normal"/>
    <w:link w:val="TextedebullesCar"/>
    <w:rsid w:val="00280AF2"/>
    <w:rPr>
      <w:rFonts w:ascii="Tahoma" w:hAnsi="Tahoma" w:cs="Tahoma"/>
      <w:sz w:val="16"/>
      <w:szCs w:val="16"/>
    </w:rPr>
  </w:style>
  <w:style w:type="character" w:customStyle="1" w:styleId="TextedebullesCar">
    <w:name w:val="Texte de bulles Car"/>
    <w:basedOn w:val="Policepardfaut"/>
    <w:link w:val="Textedebulles"/>
    <w:rsid w:val="00280AF2"/>
    <w:rPr>
      <w:rFonts w:ascii="Tahoma" w:eastAsiaTheme="minorHAnsi" w:hAnsi="Tahoma" w:cs="Tahoma"/>
      <w:sz w:val="16"/>
      <w:szCs w:val="16"/>
      <w:lang w:val="fr-FR" w:eastAsia="en-US"/>
    </w:rPr>
  </w:style>
  <w:style w:type="character" w:customStyle="1" w:styleId="Titre4Car">
    <w:name w:val="Titre 4 Car"/>
    <w:basedOn w:val="Policepardfaut"/>
    <w:link w:val="Titre4"/>
    <w:rsid w:val="00280AF2"/>
    <w:rPr>
      <w:rFonts w:ascii="Arial" w:hAnsi="Arial" w:cs="Arial"/>
      <w:sz w:val="22"/>
      <w:szCs w:val="22"/>
      <w:lang w:val="fr-FR" w:eastAsia="fr-FR"/>
    </w:rPr>
  </w:style>
  <w:style w:type="paragraph" w:customStyle="1" w:styleId="DOCWEB-Embargo">
    <w:name w:val="DOCWEB - Embargo"/>
    <w:next w:val="DOCWEB-Titre"/>
    <w:rsid w:val="009C62E6"/>
    <w:pPr>
      <w:pBdr>
        <w:bottom w:val="single" w:sz="4" w:space="1" w:color="E60032" w:themeColor="accent2"/>
      </w:pBdr>
      <w:jc w:val="right"/>
    </w:pPr>
    <w:rPr>
      <w:rFonts w:ascii="Arial" w:hAnsi="Arial" w:cs="Arial"/>
      <w:color w:val="E60032" w:themeColor="accent2"/>
      <w:sz w:val="18"/>
      <w:szCs w:val="18"/>
    </w:rPr>
  </w:style>
  <w:style w:type="paragraph" w:customStyle="1" w:styleId="DOCWEB-Titre">
    <w:name w:val="DOCWEB - Titre"/>
    <w:next w:val="DOCWEB-Complmenttitre"/>
    <w:rsid w:val="009C62E6"/>
    <w:pPr>
      <w:autoSpaceDE w:val="0"/>
      <w:autoSpaceDN w:val="0"/>
      <w:adjustRightInd w:val="0"/>
      <w:spacing w:before="120" w:after="120"/>
    </w:pPr>
    <w:rPr>
      <w:rFonts w:ascii="Arial" w:hAnsi="Arial" w:cs="Arial"/>
      <w:color w:val="646464"/>
      <w:sz w:val="32"/>
      <w:szCs w:val="32"/>
    </w:rPr>
  </w:style>
  <w:style w:type="paragraph" w:customStyle="1" w:styleId="DOCWEB-Complmenttitre">
    <w:name w:val="DOCWEB - Complément titre"/>
    <w:basedOn w:val="DOCWEB-Titre"/>
    <w:next w:val="DOCWEB-Communiqu"/>
    <w:rsid w:val="009C62E6"/>
    <w:rPr>
      <w:i/>
      <w:sz w:val="18"/>
      <w:szCs w:val="18"/>
    </w:rPr>
  </w:style>
  <w:style w:type="paragraph" w:customStyle="1" w:styleId="DOCWEB-Communiqu">
    <w:name w:val="DOCWEB - Communiqué"/>
    <w:basedOn w:val="DOCWEB-Titre"/>
    <w:next w:val="DOCWEB-Paragraphenormal"/>
    <w:rsid w:val="00BB77D9"/>
    <w:pPr>
      <w:pBdr>
        <w:top w:val="single" w:sz="4" w:space="6" w:color="E60032" w:themeColor="accent2"/>
      </w:pBdr>
      <w:tabs>
        <w:tab w:val="right" w:pos="8505"/>
      </w:tabs>
    </w:pPr>
    <w:rPr>
      <w:b/>
      <w:bCs/>
      <w:color w:val="auto"/>
      <w:sz w:val="28"/>
      <w:szCs w:val="28"/>
    </w:rPr>
  </w:style>
  <w:style w:type="paragraph" w:customStyle="1" w:styleId="DOCWEB-Paragraphenormal">
    <w:name w:val="DOCWEB - Paragraphe normal"/>
    <w:rsid w:val="00BB77D9"/>
    <w:pPr>
      <w:autoSpaceDE w:val="0"/>
      <w:autoSpaceDN w:val="0"/>
      <w:adjustRightInd w:val="0"/>
    </w:pPr>
    <w:rPr>
      <w:rFonts w:ascii="Arial" w:hAnsi="Arial" w:cs="Arial"/>
      <w:color w:val="000000"/>
    </w:rPr>
  </w:style>
  <w:style w:type="paragraph" w:customStyle="1" w:styleId="DOCWEB-Titreparagraphe">
    <w:name w:val="DOCWEB - Titre paragraphe"/>
    <w:basedOn w:val="DOCWEB-Paragraphenormal"/>
    <w:next w:val="DOCWEB-Paragraphenormal"/>
    <w:rsid w:val="00BB77D9"/>
    <w:rPr>
      <w:b/>
      <w:bCs/>
      <w:color w:val="E60032" w:themeColor="accent2"/>
      <w:sz w:val="22"/>
      <w:szCs w:val="18"/>
    </w:rPr>
  </w:style>
  <w:style w:type="paragraph" w:customStyle="1" w:styleId="DOCWEB-MiseenvidenceA">
    <w:name w:val="DOCWEB - Mise en évidence A"/>
    <w:basedOn w:val="DOCWEB-Paragraphenormal"/>
    <w:next w:val="DOCWEB-Paragraphenormal"/>
    <w:rsid w:val="00BB77D9"/>
    <w:rPr>
      <w:b/>
      <w:bCs/>
    </w:rPr>
  </w:style>
  <w:style w:type="paragraph" w:customStyle="1" w:styleId="DOCWEB-MiseenvidenceB">
    <w:name w:val="DOCWEB - Mise en évidence B"/>
    <w:basedOn w:val="DOCWEB-MiseenvidenceA"/>
    <w:next w:val="DOCWEB-Paragraphenormal"/>
    <w:rsid w:val="00BB77D9"/>
    <w:rPr>
      <w:b w:val="0"/>
      <w:color w:val="646464"/>
    </w:rPr>
  </w:style>
  <w:style w:type="paragraph" w:customStyle="1" w:styleId="DOCWEB-Rappel">
    <w:name w:val="DOCWEB - Rappel"/>
    <w:basedOn w:val="Normal"/>
    <w:next w:val="DOCWEB-Paragraphenormal"/>
    <w:rsid w:val="00BB77D9"/>
    <w:pPr>
      <w:autoSpaceDE w:val="0"/>
      <w:autoSpaceDN w:val="0"/>
      <w:adjustRightInd w:val="0"/>
    </w:pPr>
    <w:rPr>
      <w:rFonts w:eastAsia="Times New Roman" w:cs="Arial"/>
      <w:color w:val="E60032" w:themeColor="accent2"/>
      <w:lang w:val="fr-CH" w:eastAsia="fr-CH"/>
    </w:rPr>
  </w:style>
  <w:style w:type="paragraph" w:customStyle="1" w:styleId="DOCWEB-Contact">
    <w:name w:val="DOCWEB - Contact"/>
    <w:basedOn w:val="DOCWEB-Paragraphenormal"/>
    <w:next w:val="DOCWEB-Paragraphenormal"/>
    <w:rsid w:val="00BB77D9"/>
    <w:rPr>
      <w:b/>
      <w:bCs/>
      <w:color w:val="E60032" w:themeColor="accent2"/>
      <w:sz w:val="18"/>
      <w:szCs w:val="18"/>
    </w:rPr>
  </w:style>
  <w:style w:type="paragraph" w:styleId="Textebrut">
    <w:name w:val="Plain Text"/>
    <w:basedOn w:val="Normal"/>
    <w:link w:val="TextebrutCar"/>
    <w:uiPriority w:val="99"/>
    <w:semiHidden/>
    <w:unhideWhenUsed/>
    <w:rsid w:val="00A66F65"/>
    <w:rPr>
      <w:rFonts w:cs="Arial"/>
      <w:szCs w:val="21"/>
      <w:lang w:val="fr-CH"/>
    </w:rPr>
  </w:style>
  <w:style w:type="character" w:customStyle="1" w:styleId="TextebrutCar">
    <w:name w:val="Texte brut Car"/>
    <w:basedOn w:val="Policepardfaut"/>
    <w:link w:val="Textebrut"/>
    <w:uiPriority w:val="99"/>
    <w:semiHidden/>
    <w:rsid w:val="00A66F65"/>
    <w:rPr>
      <w:rFonts w:ascii="Arial" w:eastAsiaTheme="minorHAnsi" w:hAnsi="Arial" w:cs="Arial"/>
      <w:sz w:val="22"/>
      <w:szCs w:val="21"/>
      <w:lang w:eastAsia="en-US"/>
    </w:rPr>
  </w:style>
  <w:style w:type="character" w:styleId="Lienhypertexte">
    <w:name w:val="Hyperlink"/>
    <w:basedOn w:val="Policepardfaut"/>
    <w:unhideWhenUsed/>
    <w:rsid w:val="00A66F65"/>
    <w:rPr>
      <w:color w:val="0000FF" w:themeColor="hyperlink"/>
      <w:u w:val="single"/>
    </w:rPr>
  </w:style>
  <w:style w:type="character" w:styleId="Mentionnonrsolue">
    <w:name w:val="Unresolved Mention"/>
    <w:basedOn w:val="Policepardfaut"/>
    <w:uiPriority w:val="99"/>
    <w:semiHidden/>
    <w:unhideWhenUsed/>
    <w:rsid w:val="0019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sa.ch/fr/news/inspire-de-versus-adapt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a.ch/fr/documents/modeles-de-contr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SA">
      <a:dk1>
        <a:sysClr val="windowText" lastClr="000000"/>
      </a:dk1>
      <a:lt1>
        <a:sysClr val="window" lastClr="FFFFFF"/>
      </a:lt1>
      <a:dk2>
        <a:srgbClr val="1F497D"/>
      </a:dk2>
      <a:lt2>
        <a:srgbClr val="EEECE1"/>
      </a:lt2>
      <a:accent1>
        <a:srgbClr val="4F81BD"/>
      </a:accent1>
      <a:accent2>
        <a:srgbClr val="E6003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YZQSEQ23Z4NW-366884403-548074</_dlc_DocId>
    <_dlc_DocIdUrl xmlns="649f20fa-f969-41ee-a36a-b3281c52839a">
      <Url>https://ssach.sharepoint.com/_layouts/15/DocIdRedir.aspx?ID=YZQSEQ23Z4NW-366884403-548074</Url>
      <Description>YZQSEQ23Z4NW-366884403-548074</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A259A-D1E5-4E63-8DFC-7932AECA3109}">
  <ds:schemaRefs>
    <ds:schemaRef ds:uri="http://schemas.microsoft.com/sharepoint/events"/>
  </ds:schemaRefs>
</ds:datastoreItem>
</file>

<file path=customXml/itemProps2.xml><?xml version="1.0" encoding="utf-8"?>
<ds:datastoreItem xmlns:ds="http://schemas.openxmlformats.org/officeDocument/2006/customXml" ds:itemID="{3B55A46D-30F4-4543-8496-8BD68F484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42A84-91EF-4A66-B866-35B92D10AB5D}">
  <ds:schemaRefs>
    <ds:schemaRef ds:uri="http://schemas.openxmlformats.org/officeDocument/2006/bibliography"/>
  </ds:schemaRefs>
</ds:datastoreItem>
</file>

<file path=customXml/itemProps4.xml><?xml version="1.0" encoding="utf-8"?>
<ds:datastoreItem xmlns:ds="http://schemas.openxmlformats.org/officeDocument/2006/customXml" ds:itemID="{D046CF55-A73C-4783-B3E4-FCDBB6D598EF}">
  <ds:schemaRefs>
    <ds:schemaRef ds:uri="http://schemas.microsoft.com/office/infopath/2007/PartnerControls"/>
    <ds:schemaRef ds:uri="http://schemas.microsoft.com/office/2006/metadata/properties"/>
    <ds:schemaRef ds:uri="http://purl.org/dc/dcmitype/"/>
    <ds:schemaRef ds:uri="649f20fa-f969-41ee-a36a-b3281c52839a"/>
    <ds:schemaRef ds:uri="http://purl.org/dc/terms/"/>
    <ds:schemaRef ds:uri="http://purl.org/dc/elements/1.1/"/>
    <ds:schemaRef ds:uri="http://schemas.microsoft.com/office/2006/documentManagement/types"/>
    <ds:schemaRef ds:uri="3a19f3fa-da8f-45af-b637-75be0e2377cc"/>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DC39CFBE-1FCF-40AB-9C5A-DF381E69C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986</Words>
  <Characters>5647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Modèle pour lettre avec recherche d'adresse</vt:lpstr>
    </vt:vector>
  </TitlesOfParts>
  <Manager>BH/JR</Manager>
  <Company>Société Suisse des Auteurs</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lettre avec recherche d'adresse</dc:title>
  <dc:creator>Magali MEYLAN</dc:creator>
  <dc:description>U28F0918</dc:description>
  <cp:lastModifiedBy>Carlo CAPOZZI</cp:lastModifiedBy>
  <cp:revision>7</cp:revision>
  <cp:lastPrinted>2021-08-09T08:51:00Z</cp:lastPrinted>
  <dcterms:created xsi:type="dcterms:W3CDTF">2018-09-27T08:09:00Z</dcterms:created>
  <dcterms:modified xsi:type="dcterms:W3CDTF">2023-09-29T06:05:00Z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54807400</vt:r8>
  </property>
  <property fmtid="{D5CDD505-2E9C-101B-9397-08002B2CF9AE}" pid="4" name="_dlc_DocIdItemGuid">
    <vt:lpwstr>85592da5-a59c-5f37-99b4-e8a2fcc7da21</vt:lpwstr>
  </property>
  <property fmtid="{D5CDD505-2E9C-101B-9397-08002B2CF9AE}" pid="5" name="MediaServiceImageTags">
    <vt:lpwstr/>
  </property>
</Properties>
</file>